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附件5：标准归口单位及联系方式</w:t>
      </w:r>
    </w:p>
    <w:p>
      <w:pPr>
        <w:jc w:val="center"/>
        <w:outlineLvl w:val="0"/>
        <w:rPr>
          <w:rFonts w:hint="eastAsia" w:ascii="仿宋" w:hAnsi="仿宋" w:eastAsia="仿宋" w:cs="仿宋"/>
          <w:sz w:val="24"/>
          <w:szCs w:val="24"/>
          <w:lang w:val="en-US" w:eastAsia="zh-CN"/>
        </w:rPr>
      </w:pPr>
    </w:p>
    <w:tbl>
      <w:tblPr>
        <w:tblStyle w:val="6"/>
        <w:tblW w:w="14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441"/>
        <w:gridCol w:w="4307"/>
        <w:gridCol w:w="1586"/>
        <w:gridCol w:w="1212"/>
        <w:gridCol w:w="1724"/>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620"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41"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国家标准归口单位</w:t>
            </w:r>
          </w:p>
        </w:tc>
        <w:tc>
          <w:tcPr>
            <w:tcW w:w="4307"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专业范围</w:t>
            </w:r>
          </w:p>
        </w:tc>
        <w:tc>
          <w:tcPr>
            <w:tcW w:w="1586"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主管部门</w:t>
            </w:r>
          </w:p>
        </w:tc>
        <w:tc>
          <w:tcPr>
            <w:tcW w:w="1212"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联系人</w:t>
            </w:r>
          </w:p>
        </w:tc>
        <w:tc>
          <w:tcPr>
            <w:tcW w:w="1724"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联系电话</w:t>
            </w:r>
          </w:p>
        </w:tc>
        <w:tc>
          <w:tcPr>
            <w:tcW w:w="2544"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全国海洋船标准化技术委员会（SAC/TC12）</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海洋船</w:t>
            </w:r>
          </w:p>
        </w:tc>
        <w:tc>
          <w:tcPr>
            <w:tcW w:w="158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国家标准化管理委员会</w:t>
            </w:r>
          </w:p>
        </w:tc>
        <w:tc>
          <w:tcPr>
            <w:tcW w:w="1212" w:type="dxa"/>
            <w:vAlign w:val="center"/>
          </w:tcPr>
          <w:p>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刘群</w:t>
            </w:r>
          </w:p>
        </w:tc>
        <w:tc>
          <w:tcPr>
            <w:tcW w:w="1724" w:type="dxa"/>
            <w:vAlign w:val="center"/>
          </w:tcPr>
          <w:p>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13501694037</w:t>
            </w:r>
          </w:p>
        </w:tc>
        <w:tc>
          <w:tcPr>
            <w:tcW w:w="2544" w:type="dxa"/>
            <w:vAlign w:val="center"/>
          </w:tcPr>
          <w:p>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liuqun@maric.com.cn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全国金属切削机床标准化技术委员会（SAC/TC22）</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金属切削机床、附件、功能部件等专业领域</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中国机械工业联合会</w:t>
            </w:r>
          </w:p>
        </w:tc>
        <w:tc>
          <w:tcPr>
            <w:tcW w:w="1212" w:type="dxa"/>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张维</w:t>
            </w:r>
          </w:p>
        </w:tc>
        <w:tc>
          <w:tcPr>
            <w:tcW w:w="1724" w:type="dxa"/>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r>
              <w:rPr>
                <w:rFonts w:ascii="仿宋" w:hAnsi="仿宋" w:eastAsia="仿宋" w:cs="仿宋"/>
                <w:sz w:val="24"/>
                <w:szCs w:val="24"/>
                <w:highlight w:val="none"/>
              </w:rPr>
              <w:t>3311276209</w:t>
            </w:r>
          </w:p>
        </w:tc>
        <w:tc>
          <w:tcPr>
            <w:tcW w:w="2544" w:type="dxa"/>
            <w:vAlign w:val="center"/>
          </w:tcPr>
          <w:p>
            <w:pPr>
              <w:jc w:val="center"/>
              <w:rPr>
                <w:rFonts w:hint="eastAsia" w:ascii="仿宋" w:hAnsi="仿宋" w:eastAsia="仿宋" w:cs="仿宋"/>
                <w:kern w:val="2"/>
                <w:sz w:val="24"/>
                <w:szCs w:val="24"/>
                <w:highlight w:val="none"/>
                <w:lang w:val="en-US" w:eastAsia="zh-CN" w:bidi="ar-SA"/>
              </w:rPr>
            </w:pPr>
            <w:r>
              <w:rPr>
                <w:rFonts w:ascii="仿宋" w:hAnsi="仿宋" w:eastAsia="仿宋" w:cs="仿宋"/>
                <w:sz w:val="24"/>
                <w:szCs w:val="24"/>
                <w:highlight w:val="none"/>
              </w:rPr>
              <w:t>z</w:t>
            </w:r>
            <w:r>
              <w:rPr>
                <w:rFonts w:hint="eastAsia" w:ascii="仿宋" w:hAnsi="仿宋" w:eastAsia="仿宋" w:cs="仿宋"/>
                <w:sz w:val="24"/>
                <w:szCs w:val="24"/>
                <w:highlight w:val="none"/>
              </w:rPr>
              <w:t>wjcs@</w:t>
            </w:r>
            <w:r>
              <w:rPr>
                <w:rFonts w:ascii="仿宋" w:hAnsi="仿宋" w:eastAsia="仿宋" w:cs="仿宋"/>
                <w:sz w:val="24"/>
                <w:szCs w:val="24"/>
                <w:highlight w:val="none"/>
              </w:rPr>
              <w:t>126.</w:t>
            </w:r>
            <w:r>
              <w:rPr>
                <w:rFonts w:hint="eastAsia" w:ascii="仿宋" w:hAnsi="仿宋" w:eastAsia="仿宋" w:cs="仿宋"/>
                <w:sz w:val="24"/>
                <w:szCs w:val="24"/>
                <w:highlight w:val="none"/>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全国电工电子产品可靠性与维修性标准化技术委员会（SAC/TC24）</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负责全国电子产品可靠性、维修性及维修保障性等专业领域标准化工作</w:t>
            </w:r>
          </w:p>
        </w:tc>
        <w:tc>
          <w:tcPr>
            <w:tcW w:w="158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工业和信息化部</w:t>
            </w:r>
          </w:p>
        </w:tc>
        <w:tc>
          <w:tcPr>
            <w:tcW w:w="1212"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陈静</w:t>
            </w:r>
          </w:p>
        </w:tc>
        <w:tc>
          <w:tcPr>
            <w:tcW w:w="1724"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ascii="仿宋" w:hAnsi="仿宋" w:eastAsia="仿宋" w:cs="仿宋"/>
                <w:sz w:val="24"/>
                <w:szCs w:val="24"/>
              </w:rPr>
              <w:t>5602228605</w:t>
            </w:r>
          </w:p>
        </w:tc>
        <w:tc>
          <w:tcPr>
            <w:tcW w:w="2544"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iectc56@126.com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全国信息技术标准化技术委员会（SAC/TC28）</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负责全国信息采集、表示、处理、传输、交换、表述、管理、组织、存储和检索的系统和工具的规范、设计和研制等专业领域标准化工作</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国家标准化管理委员会、工业和信息化部</w:t>
            </w:r>
          </w:p>
        </w:tc>
        <w:tc>
          <w:tcPr>
            <w:tcW w:w="121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陈静</w:t>
            </w:r>
          </w:p>
        </w:tc>
        <w:tc>
          <w:tcPr>
            <w:tcW w:w="172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010-64102850</w:t>
            </w:r>
          </w:p>
        </w:tc>
        <w:tc>
          <w:tcPr>
            <w:tcW w:w="25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chenjing@cesi.cn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全国化学标准化技术委员会（SAC/TC63）</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负责全国化学品等专业领域标准化工作</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中国石油和化学工业联合会</w:t>
            </w:r>
          </w:p>
        </w:tc>
        <w:tc>
          <w:tcPr>
            <w:tcW w:w="1212"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魏静</w:t>
            </w:r>
          </w:p>
        </w:tc>
        <w:tc>
          <w:tcPr>
            <w:tcW w:w="1724"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ascii="仿宋" w:hAnsi="仿宋" w:eastAsia="仿宋" w:cs="仿宋"/>
                <w:sz w:val="24"/>
                <w:szCs w:val="24"/>
              </w:rPr>
              <w:t>3641367870</w:t>
            </w:r>
          </w:p>
        </w:tc>
        <w:tc>
          <w:tcPr>
            <w:tcW w:w="2544"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w:t>
            </w:r>
            <w:r>
              <w:rPr>
                <w:rFonts w:ascii="仿宋" w:hAnsi="仿宋" w:eastAsia="仿宋" w:cs="仿宋"/>
                <w:sz w:val="24"/>
                <w:szCs w:val="24"/>
              </w:rPr>
              <w:t>eij@cpcif.org.cn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全国汽车标准化技术委员会（SAC/TC114）</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负责全国载货汽车、越野汽车、自卸汽车、牵引汽车、专用汽车、客车、轿车及汽车列车（包括半挂车和全挂车）、摩托车和电动汽车和名词术语、产品分类、技术要求、试验方法等专业领域标准化工作</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工业和信息化部</w:t>
            </w:r>
          </w:p>
        </w:tc>
        <w:tc>
          <w:tcPr>
            <w:tcW w:w="1212" w:type="dxa"/>
            <w:vAlign w:val="center"/>
          </w:tcPr>
          <w:p>
            <w:pPr>
              <w:jc w:val="center"/>
              <w:rPr>
                <w:rFonts w:hint="eastAsia" w:ascii="仿宋" w:hAnsi="仿宋" w:eastAsia="仿宋" w:cs="仿宋"/>
                <w:color w:val="FF0000"/>
                <w:sz w:val="24"/>
                <w:szCs w:val="24"/>
                <w:vertAlign w:val="baseline"/>
                <w:lang w:val="en-US" w:eastAsia="zh-CN"/>
              </w:rPr>
            </w:pPr>
            <w:r>
              <w:rPr>
                <w:rFonts w:hint="eastAsia" w:ascii="仿宋" w:hAnsi="仿宋" w:eastAsia="仿宋" w:cs="仿宋"/>
                <w:sz w:val="24"/>
                <w:szCs w:val="24"/>
                <w:vertAlign w:val="baseline"/>
                <w:lang w:val="en-US" w:eastAsia="zh-CN"/>
              </w:rPr>
              <w:t>孙枝鹏</w:t>
            </w:r>
          </w:p>
        </w:tc>
        <w:tc>
          <w:tcPr>
            <w:tcW w:w="1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13661302332</w:t>
            </w:r>
          </w:p>
          <w:p>
            <w:pPr>
              <w:jc w:val="center"/>
              <w:rPr>
                <w:rFonts w:hint="eastAsia" w:ascii="仿宋" w:hAnsi="仿宋" w:eastAsia="仿宋" w:cs="仿宋"/>
                <w:color w:val="FF0000"/>
                <w:sz w:val="24"/>
                <w:szCs w:val="24"/>
                <w:vertAlign w:val="baseline"/>
                <w:lang w:val="en-US" w:eastAsia="zh-CN"/>
              </w:rPr>
            </w:pPr>
            <w:r>
              <w:rPr>
                <w:rFonts w:hint="eastAsia" w:ascii="仿宋" w:hAnsi="仿宋" w:eastAsia="仿宋" w:cs="仿宋"/>
                <w:sz w:val="24"/>
                <w:szCs w:val="24"/>
                <w:vertAlign w:val="baseline"/>
                <w:lang w:val="en-US" w:eastAsia="zh-CN"/>
              </w:rPr>
              <w:t>022-84379255</w:t>
            </w:r>
          </w:p>
        </w:tc>
        <w:tc>
          <w:tcPr>
            <w:tcW w:w="2544" w:type="dxa"/>
            <w:vAlign w:val="center"/>
          </w:tcPr>
          <w:p>
            <w:pPr>
              <w:jc w:val="center"/>
              <w:rPr>
                <w:rFonts w:hint="eastAsia" w:ascii="仿宋" w:hAnsi="仿宋" w:eastAsia="仿宋" w:cs="仿宋"/>
                <w:color w:val="FF0000"/>
                <w:sz w:val="24"/>
                <w:szCs w:val="24"/>
                <w:vertAlign w:val="baseline"/>
                <w:lang w:val="en-US" w:eastAsia="zh-CN"/>
              </w:rPr>
            </w:pPr>
            <w:r>
              <w:rPr>
                <w:rFonts w:hint="eastAsia" w:ascii="仿宋" w:hAnsi="仿宋" w:eastAsia="仿宋" w:cs="仿宋"/>
                <w:sz w:val="24"/>
                <w:szCs w:val="24"/>
                <w:vertAlign w:val="baseline"/>
                <w:lang w:val="en-US" w:eastAsia="zh-CN"/>
              </w:rPr>
              <w:t>sunzhipeng@catarc.ac.cn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全国工业过程测量控制和自动化标准化技术委员会（SAC/TC124）</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负责全国工业过程测量和控制（即工业自动化仪表）等专业领域标准化工作</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中国机械工业联合会</w:t>
            </w:r>
          </w:p>
        </w:tc>
        <w:tc>
          <w:tcPr>
            <w:tcW w:w="121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汪烁</w:t>
            </w:r>
          </w:p>
        </w:tc>
        <w:tc>
          <w:tcPr>
            <w:tcW w:w="1724"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010-63261385</w:t>
            </w:r>
          </w:p>
        </w:tc>
        <w:tc>
          <w:tcPr>
            <w:tcW w:w="2544"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wangshuo@tc124.com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全国技术产品文件标准化技术委员会（SAC/TC146）</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负责全国与制造业有关的技术产品文件，包括设计文件、工艺文件、管理方面的文件以及手工文件和计算机的产品文件等专业领域标准化工作</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国家标准化管理委员会</w:t>
            </w:r>
          </w:p>
        </w:tc>
        <w:tc>
          <w:tcPr>
            <w:tcW w:w="1212"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潘康华</w:t>
            </w:r>
          </w:p>
        </w:tc>
        <w:tc>
          <w:tcPr>
            <w:tcW w:w="1724"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18600958144</w:t>
            </w:r>
          </w:p>
        </w:tc>
        <w:tc>
          <w:tcPr>
            <w:tcW w:w="2544"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sactc146@163.com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全国自动化系统与集成标准化技术委员会（SAC/TC159）</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面向产品设计、采购、制造和运输、支持、维护、销售过程及相关服务的自动化系统与集成领域的标准化工作。包括信息系统、工业及特定非工业环境中的固定和移动机器人技术、自动化技术、控制软件技术及系统集成技术</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中国机械工业联合会</w:t>
            </w:r>
          </w:p>
        </w:tc>
        <w:tc>
          <w:tcPr>
            <w:tcW w:w="121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孙洁香</w:t>
            </w:r>
          </w:p>
        </w:tc>
        <w:tc>
          <w:tcPr>
            <w:tcW w:w="1724"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13811695772</w:t>
            </w:r>
          </w:p>
        </w:tc>
        <w:tc>
          <w:tcPr>
            <w:tcW w:w="2544"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sunjx@riamb.ac.cn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全国印刷标准化技术委员会（SAC/TC170）</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负责全国印刷技术等专业领域标准化工作</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国家新闻出版广电总局</w:t>
            </w:r>
          </w:p>
        </w:tc>
        <w:tc>
          <w:tcPr>
            <w:tcW w:w="1212"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张杰</w:t>
            </w:r>
          </w:p>
        </w:tc>
        <w:tc>
          <w:tcPr>
            <w:tcW w:w="1724"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ascii="仿宋" w:hAnsi="仿宋" w:eastAsia="仿宋" w:cs="仿宋"/>
                <w:sz w:val="24"/>
                <w:szCs w:val="24"/>
              </w:rPr>
              <w:t>3426123067</w:t>
            </w:r>
          </w:p>
        </w:tc>
        <w:tc>
          <w:tcPr>
            <w:tcW w:w="2544"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tc</w:t>
            </w:r>
            <w:r>
              <w:rPr>
                <w:rFonts w:ascii="仿宋" w:hAnsi="仿宋" w:eastAsia="仿宋" w:cs="仿宋"/>
                <w:sz w:val="24"/>
                <w:szCs w:val="24"/>
              </w:rPr>
              <w:t>170</w:t>
            </w:r>
            <w:r>
              <w:rPr>
                <w:rFonts w:hint="eastAsia" w:ascii="仿宋" w:hAnsi="仿宋" w:eastAsia="仿宋" w:cs="仿宋"/>
                <w:sz w:val="24"/>
                <w:szCs w:val="24"/>
              </w:rPr>
              <w:t>_</w:t>
            </w:r>
            <w:r>
              <w:rPr>
                <w:rFonts w:ascii="仿宋" w:hAnsi="仿宋" w:eastAsia="仿宋" w:cs="仿宋"/>
                <w:sz w:val="24"/>
                <w:szCs w:val="24"/>
              </w:rPr>
              <w:t>zj@126.com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全国钢标准化技术委员会（SAC/TC183）</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负责全国钢产品及其配套的试验方法等专业领域标准化工作</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中国钢铁工业协会</w:t>
            </w:r>
          </w:p>
        </w:tc>
        <w:tc>
          <w:tcPr>
            <w:tcW w:w="1212"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刘斓冰</w:t>
            </w:r>
          </w:p>
        </w:tc>
        <w:tc>
          <w:tcPr>
            <w:tcW w:w="1724"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13810173651</w:t>
            </w:r>
          </w:p>
        </w:tc>
        <w:tc>
          <w:tcPr>
            <w:tcW w:w="2544"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liulanbing@cmisi.cn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全国农业机械标准化技术委员会（SAC/TC201）</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负责全国农业机械（包括耕作机械、种植机械、植保机械、收获机械、场上作业机械、农副产品加工机械、排灌机械、畜牧机械、饲料加工机械、养殖机械和割草机械，不包括草坪机械）等专业领域标准化工作</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中国机械工业联合会</w:t>
            </w:r>
          </w:p>
        </w:tc>
        <w:tc>
          <w:tcPr>
            <w:tcW w:w="121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王丽丽</w:t>
            </w:r>
          </w:p>
        </w:tc>
        <w:tc>
          <w:tcPr>
            <w:tcW w:w="1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13810459662</w:t>
            </w:r>
          </w:p>
        </w:tc>
        <w:tc>
          <w:tcPr>
            <w:tcW w:w="25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lily979608886@163.com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全国有色金属标准化技术委员会（SAC/TC243）</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负责全国有色金属矿、冶炼产品、加工产品及其辅助材料等专业领域标准化工作</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中国有色金属工业协会</w:t>
            </w:r>
          </w:p>
        </w:tc>
        <w:tc>
          <w:tcPr>
            <w:tcW w:w="121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赵永善</w:t>
            </w:r>
          </w:p>
        </w:tc>
        <w:tc>
          <w:tcPr>
            <w:tcW w:w="1724"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010-6257707513910200477</w:t>
            </w:r>
          </w:p>
        </w:tc>
        <w:tc>
          <w:tcPr>
            <w:tcW w:w="2544"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tc243@cnsmq.com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全国信息安全标准化技术委员会（SAC/TC260）</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国内信息安全</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国家标准化管理委员会</w:t>
            </w:r>
          </w:p>
        </w:tc>
        <w:tc>
          <w:tcPr>
            <w:tcW w:w="121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甘俊杰</w:t>
            </w:r>
          </w:p>
        </w:tc>
        <w:tc>
          <w:tcPr>
            <w:tcW w:w="1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15501163530</w:t>
            </w:r>
          </w:p>
        </w:tc>
        <w:tc>
          <w:tcPr>
            <w:tcW w:w="254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ganjj@cesi.cn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全国机床数控系统标准化技术委员会（SAC/TC367）</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机床数控系统</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中国机械工业联合会</w:t>
            </w:r>
          </w:p>
        </w:tc>
        <w:tc>
          <w:tcPr>
            <w:tcW w:w="121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金健</w:t>
            </w:r>
          </w:p>
        </w:tc>
        <w:tc>
          <w:tcPr>
            <w:tcW w:w="1724" w:type="dxa"/>
            <w:vAlign w:val="center"/>
          </w:tcPr>
          <w:p>
            <w:pPr>
              <w:jc w:val="center"/>
              <w:rPr>
                <w:rFonts w:hint="eastAsia" w:ascii="仿宋" w:hAnsi="仿宋" w:eastAsia="仿宋" w:cs="仿宋"/>
                <w:kern w:val="2"/>
                <w:sz w:val="24"/>
                <w:szCs w:val="24"/>
                <w:vertAlign w:val="baseline"/>
                <w:lang w:val="en-US" w:eastAsia="zh-CN" w:bidi="ar-SA"/>
              </w:rPr>
            </w:pPr>
            <w:r>
              <w:rPr>
                <w:rFonts w:hint="default" w:ascii="仿宋" w:hAnsi="仿宋" w:eastAsia="仿宋" w:cs="仿宋"/>
                <w:sz w:val="24"/>
                <w:szCs w:val="24"/>
                <w:vertAlign w:val="baseline"/>
                <w:lang w:val="en-US" w:eastAsia="zh-CN"/>
              </w:rPr>
              <w:t>18995597291</w:t>
            </w:r>
          </w:p>
        </w:tc>
        <w:tc>
          <w:tcPr>
            <w:tcW w:w="2544" w:type="dxa"/>
            <w:vAlign w:val="center"/>
          </w:tcPr>
          <w:p>
            <w:pPr>
              <w:jc w:val="center"/>
              <w:rPr>
                <w:rFonts w:hint="eastAsia" w:ascii="仿宋" w:hAnsi="仿宋" w:eastAsia="仿宋" w:cs="仿宋"/>
                <w:kern w:val="2"/>
                <w:sz w:val="24"/>
                <w:szCs w:val="24"/>
                <w:vertAlign w:val="baseline"/>
                <w:lang w:val="en-US" w:eastAsia="zh-CN" w:bidi="ar-SA"/>
              </w:rPr>
            </w:pPr>
            <w:r>
              <w:rPr>
                <w:rFonts w:hint="default" w:ascii="仿宋" w:hAnsi="仿宋" w:eastAsia="仿宋" w:cs="仿宋"/>
                <w:sz w:val="24"/>
                <w:szCs w:val="24"/>
                <w:vertAlign w:val="baseline"/>
                <w:lang w:val="en-US" w:eastAsia="zh-CN"/>
              </w:rPr>
              <w:t>471721538@qq.com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全国航空器标准化技术委员会（SAC/TC435）</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民用飞机、民用直升机和其他民用飞行器综合、总体、气动、结构、动力装置、燃油系统、液压系统、气动系统、飞行控制、电气系统、航电系统、生命保障系统、环境控制系统、客舱设备、货运系统标准以及产品支援、基础、零部件、工装工艺和材料标准等</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国家标准化管理委员会</w:t>
            </w:r>
          </w:p>
        </w:tc>
        <w:tc>
          <w:tcPr>
            <w:tcW w:w="121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邵文韬</w:t>
            </w:r>
          </w:p>
        </w:tc>
        <w:tc>
          <w:tcPr>
            <w:tcW w:w="172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010-84142144</w:t>
            </w:r>
          </w:p>
        </w:tc>
        <w:tc>
          <w:tcPr>
            <w:tcW w:w="25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15663739210@163.com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全国建材装备标准化技术委员会（SAC/TC465）</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水泥、水泥制品、轻质装饰装修、玻璃工业及深加工、墙材工业、建筑陶瓷、玻璃纤维等领域技术装备，不包括矿山机械</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中国建筑材料联合会</w:t>
            </w:r>
          </w:p>
        </w:tc>
        <w:tc>
          <w:tcPr>
            <w:tcW w:w="1212"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蔡中杰</w:t>
            </w:r>
          </w:p>
        </w:tc>
        <w:tc>
          <w:tcPr>
            <w:tcW w:w="1724" w:type="dxa"/>
            <w:vAlign w:val="center"/>
          </w:tcPr>
          <w:p>
            <w:pPr>
              <w:jc w:val="center"/>
              <w:rPr>
                <w:rFonts w:ascii="仿宋" w:hAnsi="仿宋" w:eastAsia="仿宋" w:cs="仿宋"/>
                <w:sz w:val="24"/>
                <w:szCs w:val="24"/>
              </w:rPr>
            </w:pPr>
            <w:r>
              <w:rPr>
                <w:rFonts w:hint="eastAsia" w:ascii="仿宋" w:hAnsi="仿宋" w:eastAsia="仿宋" w:cs="仿宋"/>
                <w:sz w:val="24"/>
                <w:szCs w:val="24"/>
              </w:rPr>
              <w:t>0</w:t>
            </w:r>
            <w:r>
              <w:rPr>
                <w:rFonts w:ascii="仿宋" w:hAnsi="仿宋" w:eastAsia="仿宋" w:cs="仿宋"/>
                <w:sz w:val="24"/>
                <w:szCs w:val="24"/>
              </w:rPr>
              <w:t>10</w:t>
            </w:r>
            <w:r>
              <w:rPr>
                <w:rFonts w:hint="eastAsia" w:ascii="仿宋" w:hAnsi="仿宋" w:eastAsia="仿宋" w:cs="仿宋"/>
                <w:sz w:val="24"/>
                <w:szCs w:val="24"/>
              </w:rPr>
              <w:t>-</w:t>
            </w:r>
            <w:r>
              <w:rPr>
                <w:rFonts w:ascii="仿宋" w:hAnsi="仿宋" w:eastAsia="仿宋" w:cs="仿宋"/>
                <w:sz w:val="24"/>
                <w:szCs w:val="24"/>
              </w:rPr>
              <w:t>64398076</w:t>
            </w:r>
          </w:p>
          <w:p>
            <w:pPr>
              <w:jc w:val="center"/>
              <w:rPr>
                <w:rFonts w:hint="eastAsia" w:ascii="仿宋" w:hAnsi="仿宋" w:eastAsia="仿宋" w:cs="仿宋"/>
                <w:kern w:val="2"/>
                <w:sz w:val="24"/>
                <w:szCs w:val="24"/>
                <w:lang w:val="en-US" w:eastAsia="zh-CN" w:bidi="ar-SA"/>
              </w:rPr>
            </w:pPr>
            <w:r>
              <w:rPr>
                <w:rFonts w:ascii="仿宋" w:hAnsi="仿宋" w:eastAsia="仿宋" w:cs="仿宋"/>
                <w:sz w:val="24"/>
                <w:szCs w:val="24"/>
              </w:rPr>
              <w:t>18610556913</w:t>
            </w:r>
          </w:p>
        </w:tc>
        <w:tc>
          <w:tcPr>
            <w:tcW w:w="2544"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cbmmsa@</w:t>
            </w:r>
            <w:r>
              <w:rPr>
                <w:rFonts w:ascii="仿宋" w:hAnsi="仿宋" w:eastAsia="仿宋" w:cs="仿宋"/>
                <w:sz w:val="24"/>
                <w:szCs w:val="24"/>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全国通信标准化技术委员会（SAC/TC485）</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通信网络、系统和设备的性能要求、通信基本协议和相关测试方法等</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工业和信息化部</w:t>
            </w:r>
          </w:p>
        </w:tc>
        <w:tc>
          <w:tcPr>
            <w:tcW w:w="121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郭昕</w:t>
            </w:r>
          </w:p>
        </w:tc>
        <w:tc>
          <w:tcPr>
            <w:tcW w:w="1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010-62304880</w:t>
            </w:r>
          </w:p>
        </w:tc>
        <w:tc>
          <w:tcPr>
            <w:tcW w:w="25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guox@ccsa.org.cn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全国增材制造标准化技术委员会（SAC/TC562）</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增材制造术语和定义、工艺方法、测试方法、质量评价、软件系统及相关技术服务等</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中国机械工业联合会</w:t>
            </w:r>
          </w:p>
        </w:tc>
        <w:tc>
          <w:tcPr>
            <w:tcW w:w="1212" w:type="dxa"/>
            <w:vAlign w:val="center"/>
          </w:tcPr>
          <w:p>
            <w:pPr>
              <w:jc w:val="center"/>
              <w:rPr>
                <w:rFonts w:hint="eastAsia" w:ascii="仿宋" w:hAnsi="仿宋" w:eastAsia="仿宋" w:cs="仿宋"/>
                <w:kern w:val="2"/>
                <w:sz w:val="24"/>
                <w:szCs w:val="24"/>
                <w:highlight w:val="none"/>
                <w:lang w:val="en-US" w:eastAsia="zh-CN" w:bidi="ar-SA"/>
              </w:rPr>
            </w:pPr>
            <w:r>
              <w:rPr>
                <w:rFonts w:ascii="仿宋" w:hAnsi="仿宋" w:eastAsia="仿宋" w:cs="仿宋"/>
                <w:sz w:val="24"/>
                <w:szCs w:val="24"/>
                <w:highlight w:val="none"/>
              </w:rPr>
              <w:t>薛莲</w:t>
            </w:r>
          </w:p>
        </w:tc>
        <w:tc>
          <w:tcPr>
            <w:tcW w:w="1724" w:type="dxa"/>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15811390957</w:t>
            </w:r>
          </w:p>
        </w:tc>
        <w:tc>
          <w:tcPr>
            <w:tcW w:w="2544" w:type="dxa"/>
            <w:vAlign w:val="center"/>
          </w:tcPr>
          <w:p>
            <w:pPr>
              <w:jc w:val="center"/>
              <w:rPr>
                <w:rFonts w:hint="eastAsia" w:ascii="仿宋" w:hAnsi="仿宋" w:eastAsia="仿宋" w:cs="仿宋"/>
                <w:kern w:val="2"/>
                <w:sz w:val="24"/>
                <w:szCs w:val="24"/>
                <w:highlight w:val="none"/>
                <w:lang w:val="en-US" w:eastAsia="zh-CN" w:bidi="ar-SA"/>
              </w:rPr>
            </w:pPr>
            <w:r>
              <w:rPr>
                <w:rFonts w:ascii="仿宋" w:hAnsi="仿宋" w:eastAsia="仿宋" w:cs="仿宋"/>
                <w:sz w:val="24"/>
                <w:szCs w:val="24"/>
                <w:highlight w:val="none"/>
              </w:rPr>
              <w:t>am</w:t>
            </w:r>
            <w:r>
              <w:rPr>
                <w:rFonts w:hint="eastAsia" w:ascii="仿宋" w:hAnsi="仿宋" w:eastAsia="仿宋" w:cs="仿宋"/>
                <w:sz w:val="24"/>
                <w:szCs w:val="24"/>
                <w:highlight w:val="none"/>
              </w:rPr>
              <w:t>_standard@163.com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全国信息化和工业化融合管理标准化技术委员会（SAC/TC573）</w:t>
            </w:r>
          </w:p>
        </w:tc>
        <w:tc>
          <w:tcPr>
            <w:tcW w:w="430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信息化和工业化融合管理等</w:t>
            </w:r>
          </w:p>
        </w:tc>
        <w:tc>
          <w:tcPr>
            <w:tcW w:w="158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工业和信息化部</w:t>
            </w:r>
          </w:p>
        </w:tc>
        <w:tc>
          <w:tcPr>
            <w:tcW w:w="121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李君</w:t>
            </w:r>
          </w:p>
        </w:tc>
        <w:tc>
          <w:tcPr>
            <w:tcW w:w="1724" w:type="dxa"/>
            <w:vAlign w:val="center"/>
          </w:tcPr>
          <w:p>
            <w:pPr>
              <w:jc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18610809696</w:t>
            </w:r>
          </w:p>
        </w:tc>
        <w:tc>
          <w:tcPr>
            <w:tcW w:w="25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lijunqx@163.com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全国牵引电气设备与系统标准化技术委员会（SAC/TC278）</w:t>
            </w:r>
          </w:p>
        </w:tc>
        <w:tc>
          <w:tcPr>
            <w:tcW w:w="4307" w:type="dxa"/>
            <w:vAlign w:val="center"/>
          </w:tcPr>
          <w:p>
            <w:pPr>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干线铁路和城市轨道交通(包括地铁、有轨电车、无轨电车、全自动运输系统、磁悬浮)领域，涵盖轨道交通领域的机车车辆、地面设备、运行控制系统、接口和环境条件等</w:t>
            </w:r>
          </w:p>
        </w:tc>
        <w:tc>
          <w:tcPr>
            <w:tcW w:w="1586"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国家铁路局</w:t>
            </w:r>
          </w:p>
        </w:tc>
        <w:tc>
          <w:tcPr>
            <w:tcW w:w="1212"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王秋华</w:t>
            </w:r>
          </w:p>
        </w:tc>
        <w:tc>
          <w:tcPr>
            <w:tcW w:w="1724"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13786398995</w:t>
            </w:r>
          </w:p>
        </w:tc>
        <w:tc>
          <w:tcPr>
            <w:tcW w:w="2544"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wangqh@csrzic.com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Align w:val="center"/>
          </w:tcPr>
          <w:p>
            <w:pPr>
              <w:numPr>
                <w:ilvl w:val="0"/>
                <w:numId w:val="1"/>
              </w:numPr>
              <w:tabs>
                <w:tab w:val="left" w:pos="420"/>
              </w:tabs>
              <w:ind w:left="425" w:leftChars="0" w:hanging="425" w:firstLineChars="0"/>
              <w:jc w:val="center"/>
              <w:rPr>
                <w:rFonts w:hint="eastAsia" w:ascii="仿宋" w:hAnsi="仿宋" w:eastAsia="仿宋" w:cs="仿宋"/>
                <w:sz w:val="24"/>
                <w:szCs w:val="24"/>
                <w:vertAlign w:val="baseline"/>
                <w:lang w:val="en-US" w:eastAsia="zh-CN"/>
              </w:rPr>
            </w:pPr>
          </w:p>
        </w:tc>
        <w:tc>
          <w:tcPr>
            <w:tcW w:w="2441"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全国宇航技术及其应用标准化技术委员会（SAC/TC425）</w:t>
            </w:r>
          </w:p>
        </w:tc>
        <w:tc>
          <w:tcPr>
            <w:tcW w:w="4307"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负责宇航产品设计工程和生产；宇航产品接口、集成与试验；卫星应用、运行与地面支持设备；空间环境；空间项目管理；空间材料与工艺；空间碎片以及空间数据传输、通讯等技术领域的标准化工作</w:t>
            </w:r>
          </w:p>
        </w:tc>
        <w:tc>
          <w:tcPr>
            <w:tcW w:w="1586"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国家标准化管理委员会</w:t>
            </w:r>
          </w:p>
        </w:tc>
        <w:tc>
          <w:tcPr>
            <w:tcW w:w="1212"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许冬彦</w:t>
            </w:r>
          </w:p>
        </w:tc>
        <w:tc>
          <w:tcPr>
            <w:tcW w:w="1724"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010-88108206</w:t>
            </w:r>
          </w:p>
          <w:p>
            <w:pPr>
              <w:jc w:val="center"/>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15210760317</w:t>
            </w:r>
          </w:p>
        </w:tc>
        <w:tc>
          <w:tcPr>
            <w:tcW w:w="2544"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tc425_msc@163.com</w:t>
            </w:r>
          </w:p>
        </w:tc>
      </w:tr>
    </w:tbl>
    <w:p>
      <w:bookmarkStart w:id="0" w:name="_GoBack"/>
      <w:bookmarkEnd w:id="0"/>
    </w:p>
    <w:sectPr>
      <w:pgSz w:w="16838" w:h="11906" w:orient="landscape"/>
      <w:pgMar w:top="1440" w:right="1134"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902AFA"/>
    <w:multiLevelType w:val="singleLevel"/>
    <w:tmpl w:val="F2902AFA"/>
    <w:lvl w:ilvl="0" w:tentative="0">
      <w:start w:val="1"/>
      <w:numFmt w:val="decimal"/>
      <w:suff w:val="nothing"/>
      <w:lvlText w:val="%1"/>
      <w:lvlJc w:val="left"/>
      <w:pPr>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4ED4"/>
    <w:rsid w:val="03353164"/>
    <w:rsid w:val="075F5234"/>
    <w:rsid w:val="083B63B7"/>
    <w:rsid w:val="09DA26AD"/>
    <w:rsid w:val="0A79452B"/>
    <w:rsid w:val="0B0A44F8"/>
    <w:rsid w:val="0E75468F"/>
    <w:rsid w:val="15202733"/>
    <w:rsid w:val="16BD4FC5"/>
    <w:rsid w:val="17FD47F9"/>
    <w:rsid w:val="18FA21FB"/>
    <w:rsid w:val="19CB689F"/>
    <w:rsid w:val="1AF630C1"/>
    <w:rsid w:val="1B7A449B"/>
    <w:rsid w:val="1BFD09BE"/>
    <w:rsid w:val="1C4B6BE5"/>
    <w:rsid w:val="1CE57CB4"/>
    <w:rsid w:val="1CF62678"/>
    <w:rsid w:val="1F150497"/>
    <w:rsid w:val="20852E4A"/>
    <w:rsid w:val="234B56E9"/>
    <w:rsid w:val="25A00BB2"/>
    <w:rsid w:val="2A146558"/>
    <w:rsid w:val="2A934840"/>
    <w:rsid w:val="2DBB78AA"/>
    <w:rsid w:val="2E5F3EFC"/>
    <w:rsid w:val="34CB136F"/>
    <w:rsid w:val="35B73DE9"/>
    <w:rsid w:val="38D369AB"/>
    <w:rsid w:val="399039EB"/>
    <w:rsid w:val="3AFD4AD4"/>
    <w:rsid w:val="3B255194"/>
    <w:rsid w:val="3DC30550"/>
    <w:rsid w:val="3FB96026"/>
    <w:rsid w:val="3FF02FC4"/>
    <w:rsid w:val="4040347F"/>
    <w:rsid w:val="4275177C"/>
    <w:rsid w:val="4310379F"/>
    <w:rsid w:val="47F74BF5"/>
    <w:rsid w:val="495C7875"/>
    <w:rsid w:val="4E4D3802"/>
    <w:rsid w:val="500D40D7"/>
    <w:rsid w:val="50455DA2"/>
    <w:rsid w:val="52DC0E25"/>
    <w:rsid w:val="54DE0639"/>
    <w:rsid w:val="55BA61B1"/>
    <w:rsid w:val="56E730E9"/>
    <w:rsid w:val="58E605C7"/>
    <w:rsid w:val="638F29BA"/>
    <w:rsid w:val="639E335F"/>
    <w:rsid w:val="65D12798"/>
    <w:rsid w:val="69AA163A"/>
    <w:rsid w:val="6A3F7606"/>
    <w:rsid w:val="6AA75742"/>
    <w:rsid w:val="6BE45A10"/>
    <w:rsid w:val="6D12401A"/>
    <w:rsid w:val="6FB60EF8"/>
    <w:rsid w:val="73B71853"/>
    <w:rsid w:val="7593103F"/>
    <w:rsid w:val="77A74625"/>
    <w:rsid w:val="79C55A1A"/>
    <w:rsid w:val="7E282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563C1" w:themeColor="hyperlink"/>
      <w:u w:val="single"/>
      <w14:textFill>
        <w14:solidFill>
          <w14:schemeClr w14:val="hlink"/>
        </w14:solidFill>
      </w14:textFill>
    </w:rPr>
  </w:style>
  <w:style w:type="paragraph" w:customStyle="1" w:styleId="9">
    <w:name w:val="部标题1"/>
    <w:basedOn w:val="2"/>
    <w:next w:val="1"/>
    <w:qFormat/>
    <w:uiPriority w:val="0"/>
    <w:pPr>
      <w:spacing w:line="240" w:lineRule="auto"/>
      <w:ind w:firstLine="880" w:firstLineChars="200"/>
    </w:pPr>
    <w:rPr>
      <w:rFonts w:ascii="黑体" w:hAnsi="黑体" w:eastAsia="黑体"/>
      <w:b w:val="0"/>
      <w:sz w:val="32"/>
      <w:szCs w:val="32"/>
    </w:rPr>
  </w:style>
  <w:style w:type="paragraph" w:customStyle="1" w:styleId="10">
    <w:name w:val="部标题"/>
    <w:basedOn w:val="2"/>
    <w:next w:val="1"/>
    <w:qFormat/>
    <w:uiPriority w:val="0"/>
    <w:pPr>
      <w:spacing w:line="240" w:lineRule="auto"/>
      <w:jc w:val="center"/>
    </w:pPr>
    <w:rPr>
      <w:rFonts w:ascii="黑体" w:hAnsi="黑体" w:eastAsia="黑体"/>
      <w:b w:val="0"/>
      <w:szCs w:val="44"/>
    </w:rPr>
  </w:style>
  <w:style w:type="paragraph" w:customStyle="1" w:styleId="11">
    <w:name w:val="部标题2"/>
    <w:basedOn w:val="3"/>
    <w:next w:val="1"/>
    <w:qFormat/>
    <w:uiPriority w:val="0"/>
    <w:pPr>
      <w:ind w:firstLine="880" w:firstLineChars="200"/>
    </w:pPr>
    <w:rPr>
      <w:rFonts w:ascii="楷体" w:hAnsi="楷体" w:eastAsia="楷体"/>
      <w:b w:val="0"/>
      <w:szCs w:val="32"/>
    </w:rPr>
  </w:style>
  <w:style w:type="paragraph" w:customStyle="1" w:styleId="12">
    <w:name w:val="部正文"/>
    <w:basedOn w:val="1"/>
    <w:qFormat/>
    <w:uiPriority w:val="0"/>
    <w:pPr>
      <w:ind w:firstLine="880" w:firstLineChars="200"/>
    </w:pPr>
    <w:rPr>
      <w:rFonts w:ascii="仿宋" w:hAnsi="仿宋"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cesi</dc:creator>
  <cp:lastModifiedBy>廖</cp:lastModifiedBy>
  <cp:lastPrinted>2020-11-09T09:12:00Z</cp:lastPrinted>
  <dcterms:modified xsi:type="dcterms:W3CDTF">2020-11-27T08:22:39Z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